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933675" w:rsidRDefault="00F976B7" w:rsidP="00B70185">
                <w:pPr>
                  <w:bidi w:val="0"/>
                  <w:jc w:val="right"/>
                  <w:rPr>
                    <w:rFonts w:ascii="Arial" w:hAnsi="Arial"/>
                    <w:b/>
                    <w:bCs/>
                    <w:noProof w:val="0"/>
                    <w:sz w:val="26"/>
                    <w:szCs w:val="26"/>
                    <w:rtl/>
                  </w:rPr>
                </w:pPr>
                <w:r>
                  <w:rPr>
                    <w:rFonts w:ascii="Arial" w:hAnsi="Arial"/>
                    <w:b/>
                    <w:bCs/>
                    <w:noProof w:val="0"/>
                    <w:sz w:val="26"/>
                    <w:szCs w:val="26"/>
                    <w:rtl/>
                  </w:rPr>
                  <w:t>מבקש</w:t>
                </w:r>
                <w:r w:rsidR="00B70185">
                  <w:rPr>
                    <w:rFonts w:ascii="Arial" w:hAnsi="Arial" w:hint="cs"/>
                    <w:b/>
                    <w:bCs/>
                    <w:noProof w:val="0"/>
                    <w:sz w:val="26"/>
                    <w:szCs w:val="26"/>
                    <w:rtl/>
                  </w:rPr>
                  <w:t>ת</w:t>
                </w:r>
              </w:p>
            </w:sdtContent>
          </w:sdt>
        </w:tc>
        <w:tc>
          <w:tcPr>
            <w:tcW w:w="5571" w:type="dxa"/>
          </w:tcPr>
          <w:p w:rsidR="0094424E" w:rsidRPr="002E5258" w:rsidRDefault="0094424E">
            <w:pPr>
              <w:rPr>
                <w:rFonts w:ascii="Arial" w:hAnsi="Arial"/>
                <w:b/>
                <w:bCs/>
                <w:noProof w:val="0"/>
                <w:sz w:val="26"/>
                <w:szCs w:val="26"/>
                <w:rtl/>
              </w:rPr>
            </w:pPr>
          </w:p>
          <w:p w:rsidR="00740A8F" w:rsidRDefault="004D56E2" w:rsidP="00B70185">
            <w:pPr>
              <w:rPr>
                <w:sz w:val="26"/>
                <w:szCs w:val="26"/>
                <w:rtl/>
              </w:rPr>
            </w:pPr>
            <w:sdt>
              <w:sdtPr>
                <w:rPr>
                  <w:sz w:val="26"/>
                  <w:szCs w:val="26"/>
                  <w:rtl/>
                </w:rPr>
                <w:alias w:val="1478"/>
                <w:tag w:val="1478"/>
                <w:id w:val="-2076122985"/>
                <w:text w:multiLine="1"/>
              </w:sdtPr>
              <w:sdtEndPr/>
              <w:sdtContent>
                <w:r w:rsidR="00B70185">
                  <w:rPr>
                    <w:rFonts w:ascii="Arial" w:hAnsi="Arial" w:hint="cs"/>
                    <w:b/>
                    <w:bCs/>
                    <w:noProof w:val="0"/>
                    <w:sz w:val="26"/>
                    <w:szCs w:val="26"/>
                    <w:rtl/>
                  </w:rPr>
                  <w:t>פלונית</w:t>
                </w:r>
              </w:sdtContent>
            </w:sdt>
          </w:p>
          <w:p w:rsidR="0094424E" w:rsidRPr="002E5258" w:rsidRDefault="00F976B7">
            <w:pPr>
              <w:rPr>
                <w:b/>
                <w:bCs/>
                <w:noProof w:val="0"/>
                <w:sz w:val="26"/>
                <w:szCs w:val="26"/>
              </w:rPr>
            </w:pPr>
            <w:r>
              <w:rPr>
                <w:rFonts w:hint="cs"/>
                <w:sz w:val="26"/>
                <w:szCs w:val="26"/>
                <w:rtl/>
              </w:rPr>
              <w:t>ע"י ב"כ עו"ד יניב כהן</w:t>
            </w:r>
          </w:p>
        </w:tc>
      </w:tr>
      <w:tr w:rsidR="0094424E" w:rsidRPr="002E5258">
        <w:trPr>
          <w:jc w:val="center"/>
        </w:trPr>
        <w:tc>
          <w:tcPr>
            <w:tcW w:w="8820" w:type="dxa"/>
            <w:gridSpan w:val="3"/>
          </w:tcPr>
          <w:p w:rsidR="0094424E" w:rsidRPr="00F976B7"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4D56E2" w:rsidP="00B70185">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w:t>
                </w:r>
                <w:r w:rsidR="00B70185">
                  <w:rPr>
                    <w:rFonts w:ascii="Arial" w:hAnsi="Arial" w:hint="cs"/>
                    <w:b/>
                    <w:bCs/>
                    <w:noProof w:val="0"/>
                    <w:sz w:val="26"/>
                    <w:szCs w:val="26"/>
                    <w:rtl/>
                  </w:rPr>
                  <w:t>ה</w:t>
                </w:r>
              </w:sdtContent>
            </w:sdt>
          </w:p>
        </w:tc>
        <w:tc>
          <w:tcPr>
            <w:tcW w:w="5571" w:type="dxa"/>
          </w:tcPr>
          <w:p w:rsidR="0094424E" w:rsidRPr="002E5258" w:rsidRDefault="0094424E">
            <w:pPr>
              <w:rPr>
                <w:rFonts w:ascii="Arial" w:hAnsi="Arial"/>
                <w:b/>
                <w:bCs/>
                <w:noProof w:val="0"/>
                <w:sz w:val="26"/>
                <w:szCs w:val="26"/>
                <w:rtl/>
              </w:rPr>
            </w:pPr>
          </w:p>
          <w:p w:rsidR="00740A8F" w:rsidRDefault="004D56E2" w:rsidP="00B70185">
            <w:pPr>
              <w:rPr>
                <w:sz w:val="26"/>
                <w:szCs w:val="26"/>
                <w:rtl/>
              </w:rPr>
            </w:pPr>
            <w:sdt>
              <w:sdtPr>
                <w:rPr>
                  <w:sz w:val="26"/>
                  <w:szCs w:val="26"/>
                  <w:rtl/>
                </w:rPr>
                <w:alias w:val="1486"/>
                <w:tag w:val="1486"/>
                <w:id w:val="-309872140"/>
                <w:text w:multiLine="1"/>
              </w:sdtPr>
              <w:sdtEndPr/>
              <w:sdtContent>
                <w:r w:rsidR="00B70185">
                  <w:rPr>
                    <w:rFonts w:ascii="Arial" w:hAnsi="Arial" w:hint="cs"/>
                    <w:b/>
                    <w:bCs/>
                    <w:noProof w:val="0"/>
                    <w:sz w:val="26"/>
                    <w:szCs w:val="26"/>
                    <w:rtl/>
                  </w:rPr>
                  <w:t>פלונית</w:t>
                </w:r>
              </w:sdtContent>
            </w:sdt>
          </w:p>
          <w:p w:rsidR="0094424E" w:rsidRPr="002E5258" w:rsidRDefault="00F976B7">
            <w:pPr>
              <w:rPr>
                <w:b/>
                <w:bCs/>
                <w:noProof w:val="0"/>
                <w:sz w:val="26"/>
                <w:szCs w:val="26"/>
                <w:rtl/>
              </w:rPr>
            </w:pPr>
            <w:r>
              <w:rPr>
                <w:rFonts w:hint="cs"/>
                <w:sz w:val="26"/>
                <w:szCs w:val="26"/>
                <w:rtl/>
              </w:rPr>
              <w:t>ע"י ב"כ עו"ד ראובן פרנקו</w:t>
            </w:r>
          </w:p>
        </w:tc>
      </w:tr>
    </w:tbl>
    <w:p w:rsidR="0094424E" w:rsidRPr="00F976B7"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F976B7" w:rsidRDefault="00F976B7" w:rsidP="00F976B7">
      <w:pPr>
        <w:spacing w:line="360" w:lineRule="auto"/>
        <w:jc w:val="both"/>
        <w:rPr>
          <w:rFonts w:ascii="David" w:hAnsi="David"/>
          <w:b/>
          <w:bCs/>
          <w:rtl/>
        </w:rPr>
      </w:pPr>
    </w:p>
    <w:p w:rsidR="00F976B7" w:rsidRDefault="00F976B7" w:rsidP="00F976B7">
      <w:pPr>
        <w:spacing w:line="360" w:lineRule="auto"/>
        <w:jc w:val="both"/>
        <w:rPr>
          <w:rFonts w:ascii="David" w:hAnsi="David"/>
          <w:rtl/>
        </w:rPr>
      </w:pPr>
      <w:r>
        <w:rPr>
          <w:rFonts w:ascii="David" w:hAnsi="David"/>
          <w:rtl/>
        </w:rPr>
        <w:t>בקשת רשות ערעור על החלטת בית המשפט לענייני משפחה במחוז תל-אביב (כב' השופט ליאור ברינגר, בתמ"ש 15610-05-20), מיום 2.6.21, שדחתה</w:t>
      </w:r>
      <w:r w:rsidR="002702B3">
        <w:rPr>
          <w:rFonts w:ascii="David" w:hAnsi="David" w:hint="cs"/>
          <w:rtl/>
        </w:rPr>
        <w:t>,</w:t>
      </w:r>
      <w:r>
        <w:rPr>
          <w:rFonts w:ascii="David" w:hAnsi="David"/>
          <w:rtl/>
        </w:rPr>
        <w:t xml:space="preserve"> בשלב זה</w:t>
      </w:r>
      <w:r w:rsidR="002702B3">
        <w:rPr>
          <w:rFonts w:ascii="David" w:hAnsi="David" w:hint="cs"/>
          <w:rtl/>
        </w:rPr>
        <w:t>, את</w:t>
      </w:r>
      <w:r>
        <w:rPr>
          <w:rFonts w:ascii="David" w:hAnsi="David"/>
          <w:rtl/>
        </w:rPr>
        <w:t xml:space="preserve"> בקשת המבקשת למינוי גרפולוג </w:t>
      </w:r>
      <w:r w:rsidR="002702B3">
        <w:rPr>
          <w:rFonts w:ascii="David" w:hAnsi="David" w:hint="cs"/>
          <w:rtl/>
        </w:rPr>
        <w:t xml:space="preserve">(כך בבקשה) </w:t>
      </w:r>
      <w:r>
        <w:rPr>
          <w:rFonts w:ascii="David" w:hAnsi="David"/>
          <w:rtl/>
        </w:rPr>
        <w:t>לצורך הוכחת טענת זיוף.</w:t>
      </w:r>
    </w:p>
    <w:p w:rsidR="00F976B7" w:rsidRDefault="00F976B7" w:rsidP="00F976B7">
      <w:pPr>
        <w:spacing w:line="360" w:lineRule="auto"/>
        <w:jc w:val="both"/>
        <w:rPr>
          <w:rFonts w:ascii="David" w:hAnsi="David"/>
          <w:rtl/>
        </w:rPr>
      </w:pPr>
    </w:p>
    <w:p w:rsidR="00F976B7" w:rsidRDefault="00F976B7" w:rsidP="00F976B7">
      <w:pPr>
        <w:spacing w:line="360" w:lineRule="auto"/>
        <w:jc w:val="both"/>
        <w:rPr>
          <w:rFonts w:ascii="David" w:hAnsi="David"/>
          <w:u w:val="single"/>
          <w:rtl/>
        </w:rPr>
      </w:pPr>
      <w:r>
        <w:rPr>
          <w:rFonts w:ascii="David" w:hAnsi="David"/>
          <w:u w:val="single"/>
          <w:rtl/>
        </w:rPr>
        <w:t>העובדות הצריכות לעניין</w:t>
      </w:r>
    </w:p>
    <w:p w:rsidR="00F976B7" w:rsidRDefault="00F976B7" w:rsidP="00F976B7">
      <w:pPr>
        <w:spacing w:line="360" w:lineRule="auto"/>
        <w:jc w:val="both"/>
        <w:rPr>
          <w:rFonts w:ascii="David" w:hAnsi="David"/>
          <w:rtl/>
        </w:rPr>
      </w:pPr>
    </w:p>
    <w:p w:rsidR="00F976B7" w:rsidRDefault="00F976B7" w:rsidP="00B70185">
      <w:pPr>
        <w:spacing w:line="360" w:lineRule="auto"/>
        <w:jc w:val="both"/>
        <w:rPr>
          <w:rFonts w:ascii="David" w:hAnsi="David"/>
          <w:rtl/>
        </w:rPr>
      </w:pPr>
      <w:r>
        <w:rPr>
          <w:rFonts w:ascii="David" w:hAnsi="David"/>
          <w:rtl/>
        </w:rPr>
        <w:t xml:space="preserve">המבקשת היא אלמנת המנוח </w:t>
      </w:r>
      <w:r w:rsidR="00B70185">
        <w:rPr>
          <w:rFonts w:ascii="David" w:hAnsi="David" w:hint="cs"/>
        </w:rPr>
        <w:t>XXX</w:t>
      </w:r>
      <w:r>
        <w:rPr>
          <w:rFonts w:ascii="David" w:hAnsi="David"/>
          <w:rtl/>
        </w:rPr>
        <w:t xml:space="preserve"> ז"ל לו הייתה נשואה החל משנת 2002 ועד לפטירתו בשנת 2016. המבקשת ירשה את עזבון המנוח לפי צו קיום צוואה שניתן בשנת 2018.</w:t>
      </w:r>
    </w:p>
    <w:p w:rsidR="00F976B7" w:rsidRDefault="00F976B7" w:rsidP="00F976B7">
      <w:pPr>
        <w:spacing w:line="360" w:lineRule="auto"/>
        <w:jc w:val="both"/>
        <w:rPr>
          <w:rFonts w:ascii="David" w:hAnsi="David"/>
          <w:rtl/>
        </w:rPr>
      </w:pPr>
    </w:p>
    <w:p w:rsidR="00F976B7" w:rsidRDefault="00F976B7" w:rsidP="00F976B7">
      <w:pPr>
        <w:spacing w:line="360" w:lineRule="auto"/>
        <w:jc w:val="both"/>
        <w:rPr>
          <w:rFonts w:ascii="David" w:hAnsi="David"/>
          <w:rtl/>
        </w:rPr>
      </w:pPr>
      <w:r>
        <w:rPr>
          <w:rFonts w:ascii="David" w:hAnsi="David"/>
          <w:rtl/>
        </w:rPr>
        <w:t>המשיבה היא בתו של המנוח מנישואיו הר</w:t>
      </w:r>
      <w:r w:rsidR="00B70185">
        <w:rPr>
          <w:rFonts w:ascii="David" w:hAnsi="David"/>
          <w:rtl/>
        </w:rPr>
        <w:t xml:space="preserve">אשונים לאמה, לה היה נשוי המנוח </w:t>
      </w:r>
      <w:r>
        <w:rPr>
          <w:rFonts w:ascii="David" w:hAnsi="David"/>
          <w:rtl/>
        </w:rPr>
        <w:t>משנת 1963. אמה של המשיבה נפטרה בשנת 2002 כשהיא מותירה אחריה צוואה משנת 1992 לפיה המשיבה זוכה בעזבונה. צו לקיום הצוואה ניתן בשנת 2002.</w:t>
      </w:r>
    </w:p>
    <w:p w:rsidR="00F976B7" w:rsidRDefault="00F976B7" w:rsidP="00F976B7">
      <w:pPr>
        <w:spacing w:line="360" w:lineRule="auto"/>
        <w:jc w:val="both"/>
        <w:rPr>
          <w:rFonts w:ascii="David" w:hAnsi="David"/>
          <w:rtl/>
        </w:rPr>
      </w:pPr>
    </w:p>
    <w:p w:rsidR="00F976B7" w:rsidRDefault="00F976B7" w:rsidP="00F976B7">
      <w:pPr>
        <w:spacing w:line="360" w:lineRule="auto"/>
        <w:jc w:val="both"/>
        <w:rPr>
          <w:rFonts w:ascii="David" w:hAnsi="David"/>
          <w:rtl/>
        </w:rPr>
      </w:pPr>
      <w:r>
        <w:rPr>
          <w:rFonts w:ascii="David" w:hAnsi="David"/>
          <w:rtl/>
        </w:rPr>
        <w:t>בין המבקשת למשיבה מתנהלים מספר הליכים. אחד מהם: תביעה של המבקשת שהוכתרה בכותרת "</w:t>
      </w:r>
      <w:r>
        <w:rPr>
          <w:rFonts w:ascii="David" w:hAnsi="David"/>
          <w:b/>
          <w:bCs/>
          <w:rtl/>
        </w:rPr>
        <w:t>בקשה לביטול צוואה"</w:t>
      </w:r>
      <w:r>
        <w:rPr>
          <w:rFonts w:ascii="David" w:hAnsi="David"/>
          <w:rtl/>
        </w:rPr>
        <w:t xml:space="preserve"> במסגרתה עותרת היא לביטול צו קיום הצוואה שניתן אחר אם המשיבה בשנת 2002.</w:t>
      </w:r>
    </w:p>
    <w:p w:rsidR="00F976B7" w:rsidRDefault="00F976B7" w:rsidP="00F976B7">
      <w:pPr>
        <w:spacing w:line="360" w:lineRule="auto"/>
        <w:jc w:val="both"/>
        <w:rPr>
          <w:rFonts w:ascii="David" w:hAnsi="David"/>
          <w:rtl/>
        </w:rPr>
      </w:pPr>
    </w:p>
    <w:p w:rsidR="00F976B7" w:rsidRDefault="00F976B7" w:rsidP="00F976B7">
      <w:pPr>
        <w:spacing w:line="360" w:lineRule="auto"/>
        <w:jc w:val="both"/>
        <w:rPr>
          <w:rFonts w:ascii="David" w:hAnsi="David"/>
          <w:rtl/>
        </w:rPr>
      </w:pPr>
      <w:r>
        <w:rPr>
          <w:rFonts w:ascii="David" w:hAnsi="David"/>
          <w:rtl/>
        </w:rPr>
        <w:t>מנספחי בקשת רשות הערעור עולה כי ביום 2.6.21 עתרה המבקשת לפני ביהמ"ש קמא למינוי מומחה לזיהוי כתבי יד על מנת שיחו</w:t>
      </w:r>
      <w:r w:rsidR="00B70185">
        <w:rPr>
          <w:rFonts w:ascii="David" w:hAnsi="David"/>
          <w:rtl/>
        </w:rPr>
        <w:t>וה דעתו באשר לטענתה לפיה חתימת</w:t>
      </w:r>
      <w:r w:rsidR="00B70185">
        <w:rPr>
          <w:rFonts w:ascii="David" w:hAnsi="David" w:hint="cs"/>
          <w:rtl/>
        </w:rPr>
        <w:t xml:space="preserve"> </w:t>
      </w:r>
      <w:r>
        <w:rPr>
          <w:rFonts w:ascii="David" w:hAnsi="David"/>
          <w:rtl/>
        </w:rPr>
        <w:t>אם המשיבה על גבי צוואתה (שכאמור ניתן לה צו קיום בשנת 2002) מזויפת.</w:t>
      </w:r>
    </w:p>
    <w:p w:rsidR="00F976B7" w:rsidRDefault="00F976B7" w:rsidP="00F976B7">
      <w:pPr>
        <w:spacing w:line="360" w:lineRule="auto"/>
        <w:jc w:val="both"/>
        <w:rPr>
          <w:rFonts w:ascii="David" w:hAnsi="David"/>
          <w:rtl/>
        </w:rPr>
      </w:pPr>
    </w:p>
    <w:p w:rsidR="00F976B7" w:rsidRDefault="00F976B7" w:rsidP="00F976B7">
      <w:pPr>
        <w:spacing w:line="360" w:lineRule="auto"/>
        <w:jc w:val="both"/>
        <w:rPr>
          <w:rFonts w:ascii="David" w:hAnsi="David"/>
          <w:rtl/>
        </w:rPr>
      </w:pPr>
      <w:r>
        <w:rPr>
          <w:rFonts w:ascii="David" w:hAnsi="David"/>
          <w:rtl/>
        </w:rPr>
        <w:t>בית המשפט קמא דחה את הבקשה בנימוקים כדלקמן:</w:t>
      </w:r>
    </w:p>
    <w:p w:rsidR="00F976B7" w:rsidRDefault="00F976B7" w:rsidP="00F976B7">
      <w:pPr>
        <w:spacing w:line="360" w:lineRule="auto"/>
        <w:jc w:val="both"/>
        <w:rPr>
          <w:rFonts w:ascii="David" w:hAnsi="David"/>
          <w:b/>
          <w:bCs/>
          <w:rtl/>
        </w:rPr>
      </w:pPr>
    </w:p>
    <w:p w:rsidR="00F976B7" w:rsidRDefault="00F976B7" w:rsidP="00F976B7">
      <w:pPr>
        <w:pStyle w:val="ad"/>
        <w:numPr>
          <w:ilvl w:val="0"/>
          <w:numId w:val="1"/>
        </w:numPr>
        <w:spacing w:line="360" w:lineRule="auto"/>
        <w:jc w:val="both"/>
        <w:rPr>
          <w:rFonts w:ascii="David" w:hAnsi="David"/>
          <w:b/>
          <w:bCs/>
          <w:noProof w:val="0"/>
          <w:rtl/>
        </w:rPr>
      </w:pPr>
      <w:r>
        <w:rPr>
          <w:rFonts w:ascii="David" w:hAnsi="David"/>
          <w:b/>
          <w:bCs/>
          <w:rtl/>
        </w:rPr>
        <w:t xml:space="preserve">" </w:t>
      </w:r>
      <w:r>
        <w:rPr>
          <w:rFonts w:ascii="David" w:hAnsi="David"/>
          <w:b/>
          <w:bCs/>
          <w:noProof w:val="0"/>
          <w:rtl/>
        </w:rPr>
        <w:t>ביום 2.11.20 הגיעו הצדדים להסכמות דיוניות שקבלו תוקף של החלטה.</w:t>
      </w:r>
    </w:p>
    <w:p w:rsidR="00F976B7" w:rsidRDefault="00F976B7" w:rsidP="00F976B7">
      <w:pPr>
        <w:pStyle w:val="ad"/>
        <w:numPr>
          <w:ilvl w:val="0"/>
          <w:numId w:val="1"/>
        </w:numPr>
        <w:spacing w:line="360" w:lineRule="auto"/>
        <w:jc w:val="both"/>
        <w:rPr>
          <w:rFonts w:ascii="David" w:hAnsi="David"/>
          <w:b/>
          <w:bCs/>
          <w:noProof w:val="0"/>
        </w:rPr>
      </w:pPr>
      <w:r>
        <w:rPr>
          <w:rFonts w:ascii="David" w:hAnsi="David"/>
          <w:b/>
          <w:bCs/>
          <w:noProof w:val="0"/>
          <w:rtl/>
        </w:rPr>
        <w:t xml:space="preserve">התובעת לא עמדה בהסדר הדיוני שנקבע, הגישה תצהיר מטעמה באיחור וכעת בפיה בקשות שונות. התנהלות זו של התובעת אינה מקובלת עלי. היה בידיה זמן רב להגיש בקשותיה במועד ולא כעת. </w:t>
      </w:r>
    </w:p>
    <w:p w:rsidR="00F976B7" w:rsidRDefault="00F976B7" w:rsidP="00F976B7">
      <w:pPr>
        <w:pStyle w:val="ad"/>
        <w:numPr>
          <w:ilvl w:val="0"/>
          <w:numId w:val="1"/>
        </w:numPr>
        <w:spacing w:line="360" w:lineRule="auto"/>
        <w:jc w:val="both"/>
        <w:rPr>
          <w:rFonts w:ascii="David" w:hAnsi="David"/>
          <w:b/>
          <w:bCs/>
          <w:noProof w:val="0"/>
        </w:rPr>
      </w:pPr>
      <w:r>
        <w:rPr>
          <w:rFonts w:ascii="David" w:hAnsi="David"/>
          <w:b/>
          <w:bCs/>
          <w:noProof w:val="0"/>
          <w:rtl/>
        </w:rPr>
        <w:t>לאור האמור, בשלב זה איני נעתר לבקשה ובמידת הצורך היא תישקל שנית בשלב מאוחר יותר. "</w:t>
      </w:r>
    </w:p>
    <w:p w:rsidR="00F976B7" w:rsidRDefault="00F976B7" w:rsidP="00F976B7">
      <w:pPr>
        <w:spacing w:line="360" w:lineRule="auto"/>
        <w:jc w:val="both"/>
        <w:rPr>
          <w:rFonts w:ascii="David" w:hAnsi="David"/>
          <w:noProof w:val="0"/>
        </w:rPr>
      </w:pPr>
    </w:p>
    <w:p w:rsidR="00F976B7" w:rsidRDefault="00F976B7" w:rsidP="00F976B7">
      <w:pPr>
        <w:spacing w:line="360" w:lineRule="auto"/>
        <w:jc w:val="both"/>
        <w:rPr>
          <w:rFonts w:ascii="David" w:hAnsi="David"/>
          <w:rtl/>
        </w:rPr>
      </w:pPr>
      <w:r>
        <w:rPr>
          <w:rFonts w:ascii="David" w:hAnsi="David"/>
          <w:rtl/>
        </w:rPr>
        <w:t>מכאן בקשת רשות הערעור שלפניי.</w:t>
      </w:r>
    </w:p>
    <w:p w:rsidR="002702B3" w:rsidRDefault="002702B3" w:rsidP="00F976B7">
      <w:pPr>
        <w:spacing w:line="360" w:lineRule="auto"/>
        <w:jc w:val="both"/>
        <w:rPr>
          <w:rFonts w:ascii="David" w:hAnsi="David"/>
          <w:rtl/>
        </w:rPr>
      </w:pPr>
    </w:p>
    <w:p w:rsidR="00F976B7" w:rsidRDefault="00F976B7" w:rsidP="00F976B7">
      <w:pPr>
        <w:spacing w:line="360" w:lineRule="auto"/>
        <w:jc w:val="both"/>
        <w:rPr>
          <w:rFonts w:ascii="David" w:hAnsi="David"/>
          <w:rtl/>
        </w:rPr>
      </w:pPr>
      <w:r>
        <w:rPr>
          <w:rFonts w:ascii="David" w:hAnsi="David"/>
          <w:rtl/>
        </w:rPr>
        <w:t>בבקשת רשות הערעור שלפניי עומדת המבקשת על החשיבו</w:t>
      </w:r>
      <w:r w:rsidR="00B70185">
        <w:rPr>
          <w:rFonts w:ascii="David" w:hAnsi="David"/>
          <w:rtl/>
        </w:rPr>
        <w:t>ת במינוי מומחה לזיהוי כתבי יד (</w:t>
      </w:r>
      <w:r>
        <w:rPr>
          <w:rFonts w:ascii="David" w:hAnsi="David"/>
          <w:rtl/>
        </w:rPr>
        <w:t>"</w:t>
      </w:r>
      <w:r>
        <w:rPr>
          <w:rFonts w:ascii="David" w:hAnsi="David"/>
          <w:b/>
          <w:bCs/>
          <w:rtl/>
        </w:rPr>
        <w:t>גרפולוג</w:t>
      </w:r>
      <w:r>
        <w:rPr>
          <w:rFonts w:ascii="David" w:hAnsi="David"/>
          <w:rtl/>
        </w:rPr>
        <w:t>" כלשונה) לצורך בחינת טענת הזיוף שהעלתה בקשר לצוואה ובירור האמת.</w:t>
      </w:r>
    </w:p>
    <w:p w:rsidR="00F976B7" w:rsidRDefault="00F976B7" w:rsidP="00F976B7">
      <w:pPr>
        <w:spacing w:line="360" w:lineRule="auto"/>
        <w:jc w:val="both"/>
        <w:rPr>
          <w:rFonts w:ascii="David" w:hAnsi="David"/>
          <w:rtl/>
        </w:rPr>
      </w:pPr>
    </w:p>
    <w:p w:rsidR="00F976B7" w:rsidRDefault="00F976B7" w:rsidP="00F976B7">
      <w:pPr>
        <w:spacing w:line="360" w:lineRule="auto"/>
        <w:jc w:val="both"/>
        <w:rPr>
          <w:rFonts w:ascii="David" w:hAnsi="David"/>
          <w:b/>
          <w:bCs/>
          <w:u w:val="single"/>
          <w:rtl/>
        </w:rPr>
      </w:pPr>
      <w:r>
        <w:rPr>
          <w:rFonts w:ascii="David" w:hAnsi="David"/>
          <w:b/>
          <w:bCs/>
          <w:u w:val="single"/>
          <w:rtl/>
        </w:rPr>
        <w:t>דיון והכרעה</w:t>
      </w:r>
    </w:p>
    <w:p w:rsidR="00F976B7" w:rsidRDefault="00F976B7" w:rsidP="00F976B7">
      <w:pPr>
        <w:spacing w:line="360" w:lineRule="auto"/>
        <w:jc w:val="both"/>
        <w:rPr>
          <w:rFonts w:ascii="David" w:hAnsi="David"/>
          <w:rtl/>
        </w:rPr>
      </w:pPr>
    </w:p>
    <w:p w:rsidR="00F976B7" w:rsidRDefault="00F976B7" w:rsidP="00F976B7">
      <w:pPr>
        <w:spacing w:line="360" w:lineRule="auto"/>
        <w:jc w:val="both"/>
        <w:rPr>
          <w:rFonts w:ascii="David" w:hAnsi="David"/>
          <w:rtl/>
        </w:rPr>
      </w:pPr>
      <w:r>
        <w:rPr>
          <w:rFonts w:ascii="David" w:hAnsi="David"/>
          <w:rtl/>
        </w:rPr>
        <w:t>לאחר עיון בבקשה ובנספחיה אני מחליט לדחות אותה ללא צורך בקבלת תשובה.</w:t>
      </w:r>
    </w:p>
    <w:p w:rsidR="00F976B7" w:rsidRDefault="00F976B7" w:rsidP="00F976B7">
      <w:pPr>
        <w:spacing w:line="360" w:lineRule="auto"/>
        <w:jc w:val="both"/>
        <w:rPr>
          <w:rFonts w:ascii="David" w:hAnsi="David"/>
          <w:rtl/>
        </w:rPr>
      </w:pPr>
    </w:p>
    <w:p w:rsidR="00F976B7" w:rsidRDefault="00F976B7" w:rsidP="00F976B7">
      <w:pPr>
        <w:spacing w:line="360" w:lineRule="auto"/>
        <w:jc w:val="both"/>
        <w:rPr>
          <w:rFonts w:ascii="David" w:hAnsi="David"/>
          <w:rtl/>
        </w:rPr>
      </w:pPr>
      <w:r>
        <w:rPr>
          <w:rFonts w:ascii="David" w:hAnsi="David"/>
          <w:u w:val="single"/>
          <w:rtl/>
        </w:rPr>
        <w:t>ראשית,</w:t>
      </w:r>
      <w:r>
        <w:rPr>
          <w:rFonts w:ascii="David" w:hAnsi="David"/>
          <w:rtl/>
        </w:rPr>
        <w:t xml:space="preserve"> המבקשת כלל לא התייחסה לנימוקי בית המשפט קמא את החלטתו. כאמור, ביהמ"ש קמא ציין כי הבקשה הוגשה בניגוד להסכמה דיונית שקיבלה תוקף של החלטה ביום 2.11.20. המבקשת בבקשת רשות הערעור לא מתייחסת לאותה הסכמה נטענת, לא מפנה לפרוטוקול הדיון שהתקיים ביום 2.11.20 ואף לא מצרפת אותו. בנסיבות אלו, אין זה מתפקידו של בית משפט זה לפשפש בתיק ביהמ"ש קמא מיוזמתו, לפעול לאיתור אותה החלטה ולבחון אם החלטת ביהמ"ש קמא עולה בקנה אחד עם הנאמר בה אם לאו.</w:t>
      </w:r>
    </w:p>
    <w:p w:rsidR="00F976B7" w:rsidRDefault="00F976B7" w:rsidP="00F976B7">
      <w:pPr>
        <w:spacing w:line="360" w:lineRule="auto"/>
        <w:jc w:val="both"/>
        <w:rPr>
          <w:rFonts w:ascii="David" w:hAnsi="David"/>
          <w:rtl/>
        </w:rPr>
      </w:pPr>
    </w:p>
    <w:p w:rsidR="002702B3" w:rsidRDefault="00F976B7" w:rsidP="002702B3">
      <w:pPr>
        <w:spacing w:line="360" w:lineRule="auto"/>
        <w:jc w:val="both"/>
        <w:rPr>
          <w:rFonts w:ascii="David" w:hAnsi="David"/>
          <w:rtl/>
        </w:rPr>
      </w:pPr>
      <w:r>
        <w:rPr>
          <w:rFonts w:ascii="David" w:hAnsi="David"/>
          <w:u w:val="single"/>
          <w:rtl/>
        </w:rPr>
        <w:lastRenderedPageBreak/>
        <w:t>שנית, ולגופם</w:t>
      </w:r>
      <w:r>
        <w:rPr>
          <w:rFonts w:ascii="David" w:hAnsi="David"/>
          <w:rtl/>
        </w:rPr>
        <w:t xml:space="preserve"> של דברים – מנספחי בקשת רשות הערעור עולה כי המבקשת הגישה לרשם לענייני ירושה בקשה אותה הכתירה כ"</w:t>
      </w:r>
      <w:r>
        <w:rPr>
          <w:rFonts w:ascii="David" w:hAnsi="David"/>
          <w:b/>
          <w:bCs/>
          <w:rtl/>
        </w:rPr>
        <w:t>בקשה לביטול צוואה"</w:t>
      </w:r>
      <w:r>
        <w:rPr>
          <w:rFonts w:ascii="David" w:hAnsi="David"/>
          <w:rtl/>
        </w:rPr>
        <w:t xml:space="preserve"> לפי סעיף 72 לחוק הירושה, התשכ"ה-1962 וכי לאור השיהוי בו הוגשה (כאמור צו קיום הצוואה ניתן עוד בשנת 2002) זו הועברה על ידי הרשם לענייני ירושה  לבית המשפט קמא. באותה תביעה העלתה המבקשת טענות שונות כלפי נסיבות מתן צו קיום הצוואה ובנוסף טוענת לטעמים לביטול הצוואה עצמה, כשאחד מהטעמים נסוב אחר חשדה כי חתימת המנוחה (אם המשיבה) על גבי הצוואה הינה מזויפת. </w:t>
      </w:r>
    </w:p>
    <w:p w:rsidR="002702B3" w:rsidRDefault="002702B3" w:rsidP="002702B3">
      <w:pPr>
        <w:spacing w:line="360" w:lineRule="auto"/>
        <w:jc w:val="both"/>
        <w:rPr>
          <w:rFonts w:ascii="David" w:hAnsi="David"/>
          <w:rtl/>
        </w:rPr>
      </w:pPr>
    </w:p>
    <w:p w:rsidR="00F976B7" w:rsidRDefault="00F976B7" w:rsidP="002702B3">
      <w:pPr>
        <w:spacing w:line="360" w:lineRule="auto"/>
        <w:jc w:val="both"/>
        <w:rPr>
          <w:rFonts w:ascii="David" w:hAnsi="David"/>
          <w:rtl/>
        </w:rPr>
      </w:pPr>
      <w:r>
        <w:rPr>
          <w:rFonts w:ascii="David" w:hAnsi="David"/>
          <w:rtl/>
        </w:rPr>
        <w:t xml:space="preserve">כל עוד שריר וקיים צו הקיום שניתן לצוואה בירור טענות התנגדות לצוואה (שקוימה) על ידי המבקשת באמצעות מומחה מטעם בית המשפט, </w:t>
      </w:r>
      <w:r w:rsidR="002702B3">
        <w:rPr>
          <w:rFonts w:ascii="David" w:hAnsi="David" w:hint="cs"/>
          <w:rtl/>
        </w:rPr>
        <w:t>ו</w:t>
      </w:r>
      <w:r>
        <w:rPr>
          <w:rFonts w:ascii="David" w:hAnsi="David"/>
          <w:rtl/>
        </w:rPr>
        <w:t xml:space="preserve">בפרט </w:t>
      </w:r>
      <w:r w:rsidR="002702B3">
        <w:rPr>
          <w:rFonts w:ascii="David" w:hAnsi="David" w:hint="cs"/>
          <w:rtl/>
        </w:rPr>
        <w:t>ה</w:t>
      </w:r>
      <w:r>
        <w:rPr>
          <w:rFonts w:ascii="David" w:hAnsi="David"/>
          <w:rtl/>
        </w:rPr>
        <w:t>טענה כי חתימת המנוחה על גבי הצוואה מזויפת, מקדימה את זמנה. הליך לפי סעיף 72 לחוק הירושה, התשכ"ה-1965 , בהתקיים התנאים המנויים בסעיף, בכוחו להביא לביטול צו קיום הצוואה בלבד. ככל שצו קיום הצוואה יבוטל, ותוגש בקשה חדשה לקיים את הצוואה, או אז תוכל המבקשת לשטוח טענות התנגדותה כלפי הצוואה לגופה. הליך לביטול צו קיום צוואה לפי סעיף 72 לחוק הירושה, התשכ"ה-1965 אינו בגדר התנגדות לצוואה (שהרי הצוואה כבר קוימה) והשיקולים שנדרשים להישקל לצורך היעתרות לבקשה הינם אחרים (ראו לעניין זה בהרחבה בש.שוחט, נ.פינברג וי.פלומין, דיני ירושה ועיזבון, מהדורה שביעית, התשע"ד-2014, בעמ' 197-202). לפיכך, והגם שלא מן הנמנע שלא לכך ביהמ"ש קמא כיוון בנימוקיו, הרי שבחירת ביהמ"ש קמא שלא להיעתר לבקשה "</w:t>
      </w:r>
      <w:r>
        <w:rPr>
          <w:rFonts w:ascii="David" w:hAnsi="David"/>
          <w:b/>
          <w:bCs/>
          <w:rtl/>
        </w:rPr>
        <w:t>בשלב זה"</w:t>
      </w:r>
      <w:r>
        <w:rPr>
          <w:rFonts w:ascii="David" w:hAnsi="David"/>
          <w:rtl/>
        </w:rPr>
        <w:t xml:space="preserve"> תוך קביעה כי "</w:t>
      </w:r>
      <w:r>
        <w:rPr>
          <w:rFonts w:ascii="David" w:hAnsi="David"/>
          <w:b/>
          <w:bCs/>
          <w:rtl/>
        </w:rPr>
        <w:t>במידת הצורך היא תישקל שנית בשלב מאוחר יותר</w:t>
      </w:r>
      <w:r>
        <w:rPr>
          <w:rFonts w:ascii="David" w:hAnsi="David"/>
          <w:rtl/>
        </w:rPr>
        <w:t>"  נראה שהולמת את הסדר הנכון של ההליכים (קרי, קודם הכרעה בבקשה לביטול צו קיום הצוואה, ורק לאחר מכן וככל שהבקשה התקבלה והצוואה הוגשה לקיום מחדש, דיון בעילות ההתנגדות לצוואה).</w:t>
      </w:r>
    </w:p>
    <w:p w:rsidR="00F976B7" w:rsidRDefault="00F976B7" w:rsidP="00F976B7">
      <w:pPr>
        <w:spacing w:line="360" w:lineRule="auto"/>
        <w:jc w:val="both"/>
        <w:rPr>
          <w:rFonts w:ascii="David" w:hAnsi="David"/>
          <w:rtl/>
        </w:rPr>
      </w:pPr>
    </w:p>
    <w:p w:rsidR="00F976B7" w:rsidRDefault="00F976B7" w:rsidP="00F976B7">
      <w:pPr>
        <w:spacing w:line="360" w:lineRule="auto"/>
        <w:jc w:val="both"/>
        <w:rPr>
          <w:rFonts w:ascii="David" w:hAnsi="David"/>
          <w:b/>
          <w:bCs/>
          <w:u w:val="single"/>
          <w:rtl/>
        </w:rPr>
      </w:pPr>
      <w:r>
        <w:rPr>
          <w:rFonts w:ascii="David" w:hAnsi="David"/>
          <w:b/>
          <w:bCs/>
          <w:u w:val="single"/>
          <w:rtl/>
        </w:rPr>
        <w:t>סוף דבר</w:t>
      </w:r>
    </w:p>
    <w:p w:rsidR="00F976B7" w:rsidRDefault="00F976B7" w:rsidP="00F976B7">
      <w:pPr>
        <w:spacing w:line="360" w:lineRule="auto"/>
        <w:jc w:val="both"/>
        <w:rPr>
          <w:rFonts w:ascii="David" w:hAnsi="David"/>
          <w:rtl/>
        </w:rPr>
      </w:pPr>
    </w:p>
    <w:p w:rsidR="00F976B7" w:rsidRDefault="00F976B7" w:rsidP="00F976B7">
      <w:pPr>
        <w:spacing w:line="360" w:lineRule="auto"/>
        <w:jc w:val="both"/>
        <w:rPr>
          <w:rFonts w:ascii="David" w:hAnsi="David"/>
          <w:rtl/>
        </w:rPr>
      </w:pPr>
      <w:r>
        <w:rPr>
          <w:rFonts w:ascii="David" w:hAnsi="David"/>
          <w:rtl/>
        </w:rPr>
        <w:t>לאור כל האמור לעיל, בקשת רשות הערעור נדחית.</w:t>
      </w:r>
    </w:p>
    <w:p w:rsidR="00F976B7" w:rsidRDefault="00F976B7" w:rsidP="00F976B7">
      <w:pPr>
        <w:spacing w:line="360" w:lineRule="auto"/>
        <w:jc w:val="both"/>
        <w:rPr>
          <w:rFonts w:ascii="David" w:hAnsi="David"/>
          <w:rtl/>
        </w:rPr>
      </w:pPr>
      <w:r>
        <w:rPr>
          <w:rFonts w:ascii="David" w:hAnsi="David"/>
          <w:rtl/>
        </w:rPr>
        <w:t>משלא התבקשה תשובה אין צו להוצאות.</w:t>
      </w:r>
    </w:p>
    <w:p w:rsidR="00F976B7" w:rsidRDefault="00F976B7" w:rsidP="00F976B7">
      <w:pPr>
        <w:spacing w:line="360" w:lineRule="auto"/>
        <w:jc w:val="both"/>
        <w:rPr>
          <w:rFonts w:ascii="David" w:hAnsi="David"/>
          <w:rtl/>
        </w:rPr>
      </w:pPr>
      <w:r>
        <w:rPr>
          <w:rFonts w:ascii="David" w:hAnsi="David"/>
          <w:rtl/>
        </w:rPr>
        <w:t>העירבון, על פירותיו, יושב למבקשת באמצעות בא כוחה.</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חשוון תשפ"ב</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אוקטובר 2021</w:t>
          </w:r>
        </w:sdtContent>
      </w:sdt>
      <w:r w:rsidR="00005C8B">
        <w:rPr>
          <w:rFonts w:ascii="Arial" w:hAnsi="Arial"/>
          <w:noProof w:val="0"/>
          <w:rtl/>
        </w:rPr>
        <w:t>, בהעדר הצדדים.</w:t>
      </w:r>
    </w:p>
    <w:p w:rsidR="00694556" w:rsidRPr="00B70185" w:rsidRDefault="004D56E2" w:rsidP="00B70185">
      <w:pPr>
        <w:tabs>
          <w:tab w:val="left" w:pos="2553"/>
        </w:tabs>
        <w:ind w:left="5040"/>
        <w:rPr>
          <w:rtl/>
        </w:rPr>
      </w:pPr>
      <w:sdt>
        <w:sdtPr>
          <w:rPr>
            <w:rtl/>
          </w:rPr>
          <w:alias w:val="MergeField"/>
          <w:tag w:val="1237"/>
          <w:id w:val="-321280220"/>
        </w:sdtPr>
        <w:sdtEndPr/>
        <w:sdtContent>
          <w:r w:rsidR="00B70185">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sectPr w:rsidR="00694556" w:rsidRPr="00B70185"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6E2" w:rsidRDefault="004D56E2">
      <w:r>
        <w:separator/>
      </w:r>
    </w:p>
  </w:endnote>
  <w:endnote w:type="continuationSeparator" w:id="0">
    <w:p w:rsidR="004D56E2" w:rsidRDefault="004D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395" w:rsidRDefault="00AF139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F139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F1395">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395" w:rsidRDefault="00AF139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6E2" w:rsidRDefault="004D56E2">
      <w:r>
        <w:separator/>
      </w:r>
    </w:p>
  </w:footnote>
  <w:footnote w:type="continuationSeparator" w:id="0">
    <w:p w:rsidR="004D56E2" w:rsidRDefault="004D5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395" w:rsidRDefault="00AF139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 יפו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D56E2" w:rsidP="00B70185">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750A27">
                <w:rPr>
                  <w:b/>
                  <w:bCs/>
                  <w:noProof w:val="0"/>
                  <w:sz w:val="26"/>
                  <w:szCs w:val="26"/>
                  <w:rtl/>
                </w:rPr>
                <w:t>55919-06-21</w:t>
              </w:r>
            </w:sdtContent>
          </w:sdt>
          <w:bookmarkEnd w:id="0"/>
          <w:r w:rsidR="00005C8B">
            <w:rPr>
              <w:b/>
              <w:bCs/>
              <w:noProof w:val="0"/>
              <w:sz w:val="26"/>
              <w:szCs w:val="26"/>
              <w:rtl/>
            </w:rPr>
            <w:t xml:space="preserve"> </w:t>
          </w:r>
          <w:sdt>
            <w:sdtPr>
              <w:rPr>
                <w:rtl/>
              </w:rPr>
              <w:alias w:val="1172"/>
              <w:tag w:val="1172"/>
              <w:id w:val="-595170033"/>
              <w:text w:multiLine="1"/>
            </w:sdtPr>
            <w:sdtEndPr/>
            <w:sdtContent>
              <w:r w:rsidR="00B70185">
                <w:rPr>
                  <w:rFonts w:hint="cs"/>
                  <w:b/>
                  <w:bCs/>
                  <w:noProof w:val="0"/>
                  <w:sz w:val="26"/>
                  <w:szCs w:val="26"/>
                  <w:rtl/>
                </w:rPr>
                <w:t>פלונית</w:t>
              </w:r>
              <w:r w:rsidR="00750A27">
                <w:rPr>
                  <w:b/>
                  <w:bCs/>
                  <w:noProof w:val="0"/>
                  <w:sz w:val="26"/>
                  <w:szCs w:val="26"/>
                  <w:rtl/>
                </w:rPr>
                <w:t xml:space="preserve"> נ' </w:t>
              </w:r>
              <w:r w:rsidR="00B70185">
                <w:rPr>
                  <w:rFonts w:hint="cs"/>
                  <w:b/>
                  <w:bCs/>
                  <w:noProof w:val="0"/>
                  <w:sz w:val="26"/>
                  <w:szCs w:val="26"/>
                  <w:rtl/>
                </w:rPr>
                <w:t>פלונית</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395" w:rsidRDefault="00AF139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15408"/>
    <w:multiLevelType w:val="hybridMultilevel"/>
    <w:tmpl w:val="DF8A65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64AB"/>
    <w:rsid w:val="00064FBD"/>
    <w:rsid w:val="00082AB2"/>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C4003"/>
    <w:rsid w:val="001C4D6E"/>
    <w:rsid w:val="001D4DBF"/>
    <w:rsid w:val="001E75CA"/>
    <w:rsid w:val="002265FF"/>
    <w:rsid w:val="002450EA"/>
    <w:rsid w:val="002702B3"/>
    <w:rsid w:val="002C344E"/>
    <w:rsid w:val="002E5258"/>
    <w:rsid w:val="00307A6A"/>
    <w:rsid w:val="00307C40"/>
    <w:rsid w:val="00320433"/>
    <w:rsid w:val="003230C7"/>
    <w:rsid w:val="00327CB2"/>
    <w:rsid w:val="00327E50"/>
    <w:rsid w:val="0033597A"/>
    <w:rsid w:val="00362612"/>
    <w:rsid w:val="0036743F"/>
    <w:rsid w:val="003715DD"/>
    <w:rsid w:val="003823E0"/>
    <w:rsid w:val="003A4521"/>
    <w:rsid w:val="003D1C8C"/>
    <w:rsid w:val="0040096C"/>
    <w:rsid w:val="00414F1F"/>
    <w:rsid w:val="0043125D"/>
    <w:rsid w:val="0043502B"/>
    <w:rsid w:val="004443AC"/>
    <w:rsid w:val="004C4BDF"/>
    <w:rsid w:val="004D1187"/>
    <w:rsid w:val="004D56E2"/>
    <w:rsid w:val="004E1987"/>
    <w:rsid w:val="004E2E15"/>
    <w:rsid w:val="004E4BA7"/>
    <w:rsid w:val="004E6E3C"/>
    <w:rsid w:val="004F14F0"/>
    <w:rsid w:val="00520898"/>
    <w:rsid w:val="00524986"/>
    <w:rsid w:val="005268F6"/>
    <w:rsid w:val="00547DB7"/>
    <w:rsid w:val="005F4F09"/>
    <w:rsid w:val="0061431B"/>
    <w:rsid w:val="00622BAA"/>
    <w:rsid w:val="006306CF"/>
    <w:rsid w:val="00644E9A"/>
    <w:rsid w:val="00671BD5"/>
    <w:rsid w:val="006805C1"/>
    <w:rsid w:val="00686C21"/>
    <w:rsid w:val="006931C1"/>
    <w:rsid w:val="00694556"/>
    <w:rsid w:val="006D3B31"/>
    <w:rsid w:val="006E1A53"/>
    <w:rsid w:val="006F678A"/>
    <w:rsid w:val="00704EDA"/>
    <w:rsid w:val="00721122"/>
    <w:rsid w:val="00740A8F"/>
    <w:rsid w:val="00750A27"/>
    <w:rsid w:val="00753019"/>
    <w:rsid w:val="00795365"/>
    <w:rsid w:val="007E6115"/>
    <w:rsid w:val="007F4609"/>
    <w:rsid w:val="008026ED"/>
    <w:rsid w:val="008176A1"/>
    <w:rsid w:val="00820005"/>
    <w:rsid w:val="00844318"/>
    <w:rsid w:val="00870890"/>
    <w:rsid w:val="00873602"/>
    <w:rsid w:val="00875D12"/>
    <w:rsid w:val="00896889"/>
    <w:rsid w:val="008C5714"/>
    <w:rsid w:val="008D10B2"/>
    <w:rsid w:val="00903896"/>
    <w:rsid w:val="00906F3D"/>
    <w:rsid w:val="00933675"/>
    <w:rsid w:val="0094424E"/>
    <w:rsid w:val="009605B3"/>
    <w:rsid w:val="009622DF"/>
    <w:rsid w:val="00967DFF"/>
    <w:rsid w:val="00994341"/>
    <w:rsid w:val="009A376F"/>
    <w:rsid w:val="009D7E8E"/>
    <w:rsid w:val="009F323C"/>
    <w:rsid w:val="00A125FF"/>
    <w:rsid w:val="00A3392B"/>
    <w:rsid w:val="00A40B04"/>
    <w:rsid w:val="00A94B64"/>
    <w:rsid w:val="00AA3229"/>
    <w:rsid w:val="00AA7596"/>
    <w:rsid w:val="00AB5E52"/>
    <w:rsid w:val="00AC3B02"/>
    <w:rsid w:val="00AC3B7B"/>
    <w:rsid w:val="00AC5209"/>
    <w:rsid w:val="00AD3AD9"/>
    <w:rsid w:val="00AE7752"/>
    <w:rsid w:val="00AF1395"/>
    <w:rsid w:val="00AF7FDA"/>
    <w:rsid w:val="00B70185"/>
    <w:rsid w:val="00B80CBD"/>
    <w:rsid w:val="00B86096"/>
    <w:rsid w:val="00BA517C"/>
    <w:rsid w:val="00BB3D05"/>
    <w:rsid w:val="00BB73BE"/>
    <w:rsid w:val="00BE05B2"/>
    <w:rsid w:val="00BF1908"/>
    <w:rsid w:val="00C22D93"/>
    <w:rsid w:val="00C31120"/>
    <w:rsid w:val="00C34482"/>
    <w:rsid w:val="00C43648"/>
    <w:rsid w:val="00C50A9F"/>
    <w:rsid w:val="00C642FA"/>
    <w:rsid w:val="00C83000"/>
    <w:rsid w:val="00CC7622"/>
    <w:rsid w:val="00D27982"/>
    <w:rsid w:val="00D33B86"/>
    <w:rsid w:val="00D53924"/>
    <w:rsid w:val="00D55D0C"/>
    <w:rsid w:val="00D96D8C"/>
    <w:rsid w:val="00DA4E55"/>
    <w:rsid w:val="00DA6649"/>
    <w:rsid w:val="00DC1259"/>
    <w:rsid w:val="00DC2571"/>
    <w:rsid w:val="00DC487C"/>
    <w:rsid w:val="00DE6BF6"/>
    <w:rsid w:val="00E25884"/>
    <w:rsid w:val="00E31C2B"/>
    <w:rsid w:val="00E5426A"/>
    <w:rsid w:val="00E54642"/>
    <w:rsid w:val="00E90BA2"/>
    <w:rsid w:val="00EC37E9"/>
    <w:rsid w:val="00EE32E3"/>
    <w:rsid w:val="00F06995"/>
    <w:rsid w:val="00F13623"/>
    <w:rsid w:val="00F84B6D"/>
    <w:rsid w:val="00F976B7"/>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976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36176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3237</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2024-07-11T10:30:00Z</dcterms:created>
  <dcterms:modified xsi:type="dcterms:W3CDTF">2024-07-11T10:30:00Z</dcterms:modified>
</cp:coreProperties>
</file>